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A6" w:rsidRPr="00A568A6" w:rsidRDefault="00A568A6" w:rsidP="00A568A6">
      <w:pPr>
        <w:shd w:val="clear" w:color="auto" w:fill="FFFFFF"/>
        <w:spacing w:after="0" w:line="450" w:lineRule="atLeast"/>
        <w:textAlignment w:val="center"/>
        <w:rPr>
          <w:rFonts w:ascii="Arial" w:eastAsia="Times New Roman" w:hAnsi="Arial" w:cs="Arial"/>
          <w:b/>
          <w:bCs/>
          <w:color w:val="313335"/>
          <w:sz w:val="30"/>
          <w:szCs w:val="30"/>
        </w:rPr>
      </w:pPr>
      <w:r w:rsidRPr="00A568A6">
        <w:rPr>
          <w:rFonts w:ascii="Arial" w:eastAsia="Times New Roman" w:hAnsi="Arial" w:cs="Arial"/>
          <w:b/>
          <w:bCs/>
          <w:color w:val="313335"/>
          <w:sz w:val="30"/>
          <w:szCs w:val="30"/>
        </w:rPr>
        <w:t>Sec. 2.5-6. - False alarm charge imposed.</w:t>
      </w:r>
    </w:p>
    <w:p w:rsidR="00A568A6" w:rsidRDefault="00A568A6" w:rsidP="00A568A6">
      <w:pPr>
        <w:shd w:val="clear" w:color="auto" w:fill="FFFFFF"/>
        <w:spacing w:after="120" w:line="240" w:lineRule="auto"/>
        <w:textAlignment w:val="center"/>
        <w:rPr>
          <w:rFonts w:ascii="Arial" w:eastAsia="Times New Roman" w:hAnsi="Arial" w:cs="Arial"/>
          <w:color w:val="313335"/>
          <w:spacing w:val="2"/>
          <w:sz w:val="21"/>
          <w:szCs w:val="21"/>
        </w:rPr>
      </w:pP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bookmarkStart w:id="0" w:name="_GoBack"/>
      <w:bookmarkEnd w:id="0"/>
      <w:r w:rsidRPr="00A568A6">
        <w:rPr>
          <w:rFonts w:ascii="Arial" w:eastAsia="Times New Roman" w:hAnsi="Arial" w:cs="Arial"/>
          <w:color w:val="313335"/>
          <w:spacing w:val="2"/>
          <w:sz w:val="21"/>
          <w:szCs w:val="21"/>
        </w:rPr>
        <w:t xml:space="preserve"> (a)</w:t>
      </w:r>
      <w:r>
        <w:rPr>
          <w:rFonts w:ascii="Arial" w:eastAsia="Times New Roman" w:hAnsi="Arial" w:cs="Arial"/>
          <w:color w:val="313335"/>
          <w:spacing w:val="2"/>
          <w:sz w:val="21"/>
          <w:szCs w:val="21"/>
        </w:rPr>
        <w:tab/>
      </w:r>
      <w:r w:rsidRPr="00A568A6">
        <w:rPr>
          <w:rFonts w:ascii="Arial" w:eastAsia="Times New Roman" w:hAnsi="Arial" w:cs="Arial"/>
          <w:color w:val="313335"/>
          <w:spacing w:val="2"/>
          <w:sz w:val="21"/>
          <w:szCs w:val="21"/>
        </w:rPr>
        <w:t>Each alarm user shall be allowed without charge three (3) false alarms within any one calendar year, but for each false alarm thereafter, a charge or penalty may be imposed in accordance with this chapter.</w:t>
      </w: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r w:rsidRPr="00A568A6">
        <w:rPr>
          <w:rFonts w:ascii="Arial" w:eastAsia="Times New Roman" w:hAnsi="Arial" w:cs="Arial"/>
          <w:color w:val="313335"/>
          <w:spacing w:val="2"/>
          <w:sz w:val="21"/>
          <w:szCs w:val="21"/>
        </w:rPr>
        <w:t>(b)</w:t>
      </w:r>
      <w:r>
        <w:rPr>
          <w:rFonts w:ascii="Arial" w:eastAsia="Times New Roman" w:hAnsi="Arial" w:cs="Arial"/>
          <w:color w:val="313335"/>
          <w:spacing w:val="2"/>
          <w:sz w:val="21"/>
          <w:szCs w:val="21"/>
        </w:rPr>
        <w:tab/>
      </w:r>
      <w:r w:rsidRPr="00A568A6">
        <w:rPr>
          <w:rFonts w:ascii="Arial" w:eastAsia="Times New Roman" w:hAnsi="Arial" w:cs="Arial"/>
          <w:color w:val="313335"/>
          <w:spacing w:val="2"/>
          <w:sz w:val="21"/>
          <w:szCs w:val="21"/>
        </w:rPr>
        <w:t>Each separate premises of an alarm user, determined by a different street address and a different deed and/or title, shall be counted as a single or separate alarm system and alarm user.</w:t>
      </w: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r w:rsidRPr="00A568A6">
        <w:rPr>
          <w:rFonts w:ascii="Arial" w:eastAsia="Times New Roman" w:hAnsi="Arial" w:cs="Arial"/>
          <w:color w:val="313335"/>
          <w:spacing w:val="2"/>
          <w:sz w:val="21"/>
          <w:szCs w:val="21"/>
        </w:rPr>
        <w:t>(c)</w:t>
      </w:r>
      <w:r>
        <w:rPr>
          <w:rFonts w:ascii="Arial" w:eastAsia="Times New Roman" w:hAnsi="Arial" w:cs="Arial"/>
          <w:color w:val="313335"/>
          <w:spacing w:val="2"/>
          <w:sz w:val="21"/>
          <w:szCs w:val="21"/>
        </w:rPr>
        <w:tab/>
      </w:r>
      <w:r w:rsidRPr="00A568A6">
        <w:rPr>
          <w:rFonts w:ascii="Arial" w:eastAsia="Times New Roman" w:hAnsi="Arial" w:cs="Arial"/>
          <w:color w:val="313335"/>
          <w:spacing w:val="2"/>
          <w:sz w:val="21"/>
          <w:szCs w:val="21"/>
        </w:rPr>
        <w:t>An alarm user may be notified via first class mail by the city after three (3) false alarms during any one calendar year advising that corrective steps should be taken to eliminate the false alarm signals. Failure to send such notice or the alarm user to receive such notice, however, shall not be a defense to the assessment of any service charge or penalty under this chapter.</w:t>
      </w: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r w:rsidRPr="00A568A6">
        <w:rPr>
          <w:rFonts w:ascii="Arial" w:eastAsia="Times New Roman" w:hAnsi="Arial" w:cs="Arial"/>
          <w:color w:val="313335"/>
          <w:spacing w:val="2"/>
          <w:sz w:val="21"/>
          <w:szCs w:val="21"/>
        </w:rPr>
        <w:t>(d)</w:t>
      </w:r>
      <w:r>
        <w:rPr>
          <w:rFonts w:ascii="Arial" w:eastAsia="Times New Roman" w:hAnsi="Arial" w:cs="Arial"/>
          <w:color w:val="313335"/>
          <w:spacing w:val="2"/>
          <w:sz w:val="21"/>
          <w:szCs w:val="21"/>
        </w:rPr>
        <w:tab/>
      </w:r>
      <w:r w:rsidRPr="00A568A6">
        <w:rPr>
          <w:rFonts w:ascii="Arial" w:eastAsia="Times New Roman" w:hAnsi="Arial" w:cs="Arial"/>
          <w:color w:val="313335"/>
          <w:spacing w:val="2"/>
          <w:sz w:val="21"/>
          <w:szCs w:val="21"/>
        </w:rPr>
        <w:t>After the third false alarm initiated by any alarm system within any calendar year, the alarm user shall be assessed a false alarm charge of ninety dollars ($90.00) for each false alarm thereafter, occurring within the same calendar year. Said false alarm charge shall be paid to the city within fifteen (15) days of its assessment.</w:t>
      </w:r>
    </w:p>
    <w:p w:rsid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p>
    <w:p w:rsidR="00A568A6" w:rsidRDefault="00A568A6" w:rsidP="00A568A6">
      <w:pPr>
        <w:shd w:val="clear" w:color="auto" w:fill="FFFFFF"/>
        <w:spacing w:after="120" w:line="240" w:lineRule="auto"/>
        <w:textAlignment w:val="center"/>
        <w:rPr>
          <w:rFonts w:ascii="Arial" w:eastAsia="Times New Roman" w:hAnsi="Arial" w:cs="Arial"/>
          <w:color w:val="313335"/>
          <w:spacing w:val="2"/>
          <w:sz w:val="21"/>
          <w:szCs w:val="21"/>
        </w:rPr>
      </w:pPr>
      <w:r w:rsidRPr="00A568A6">
        <w:rPr>
          <w:rFonts w:ascii="Arial" w:eastAsia="Times New Roman" w:hAnsi="Arial" w:cs="Arial"/>
          <w:color w:val="313335"/>
          <w:spacing w:val="2"/>
          <w:sz w:val="21"/>
          <w:szCs w:val="21"/>
        </w:rPr>
        <w:t>(e)</w:t>
      </w:r>
      <w:r>
        <w:rPr>
          <w:rFonts w:ascii="Arial" w:eastAsia="Times New Roman" w:hAnsi="Arial" w:cs="Arial"/>
          <w:color w:val="313335"/>
          <w:spacing w:val="2"/>
          <w:sz w:val="21"/>
          <w:szCs w:val="21"/>
        </w:rPr>
        <w:tab/>
      </w:r>
      <w:r w:rsidRPr="00A568A6">
        <w:rPr>
          <w:rFonts w:ascii="Arial" w:eastAsia="Times New Roman" w:hAnsi="Arial" w:cs="Arial"/>
          <w:color w:val="313335"/>
          <w:spacing w:val="2"/>
          <w:sz w:val="21"/>
          <w:szCs w:val="21"/>
        </w:rPr>
        <w:t>The Chief of Police with approval of Board of Police Commissioners, or Fire Chief with approval of Board of Fire Commissioners, may waive any of the charges imposed by this section or</w:t>
      </w:r>
      <w:hyperlink r:id="rId4" w:history="1">
        <w:r w:rsidRPr="00A568A6">
          <w:rPr>
            <w:rFonts w:ascii="Arial" w:eastAsia="Times New Roman" w:hAnsi="Arial" w:cs="Arial"/>
            <w:color w:val="096FCC"/>
            <w:spacing w:val="2"/>
            <w:sz w:val="21"/>
            <w:szCs w:val="21"/>
            <w:u w:val="single"/>
          </w:rPr>
          <w:t> section 2.5-7</w:t>
        </w:r>
      </w:hyperlink>
      <w:r w:rsidRPr="00A568A6">
        <w:rPr>
          <w:rFonts w:ascii="Arial" w:eastAsia="Times New Roman" w:hAnsi="Arial" w:cs="Arial"/>
          <w:color w:val="313335"/>
          <w:spacing w:val="2"/>
          <w:sz w:val="21"/>
          <w:szCs w:val="21"/>
        </w:rPr>
        <w:t>. The Chief of Police or Fire Chief must state the reason for such waiver in writing to their respective Board of Commissioners.</w:t>
      </w:r>
    </w:p>
    <w:p w:rsidR="00A568A6" w:rsidRPr="00A568A6" w:rsidRDefault="00A568A6" w:rsidP="00A568A6">
      <w:pPr>
        <w:shd w:val="clear" w:color="auto" w:fill="FFFFFF"/>
        <w:spacing w:after="120" w:line="240" w:lineRule="auto"/>
        <w:textAlignment w:val="center"/>
        <w:rPr>
          <w:rFonts w:ascii="Arial" w:eastAsia="Times New Roman" w:hAnsi="Arial" w:cs="Arial"/>
          <w:b/>
          <w:bCs/>
          <w:color w:val="096FCC"/>
          <w:sz w:val="21"/>
          <w:szCs w:val="21"/>
        </w:rPr>
      </w:pPr>
    </w:p>
    <w:p w:rsidR="00A568A6" w:rsidRPr="00A568A6" w:rsidRDefault="00A568A6" w:rsidP="00A568A6">
      <w:pPr>
        <w:shd w:val="clear" w:color="auto" w:fill="FFFFFF"/>
        <w:spacing w:after="195" w:line="240" w:lineRule="auto"/>
        <w:rPr>
          <w:rFonts w:ascii="Arial" w:eastAsia="Times New Roman" w:hAnsi="Arial" w:cs="Arial"/>
          <w:color w:val="313335"/>
          <w:spacing w:val="2"/>
          <w:sz w:val="21"/>
          <w:szCs w:val="21"/>
        </w:rPr>
      </w:pPr>
      <w:r w:rsidRPr="00A568A6">
        <w:rPr>
          <w:rFonts w:ascii="Arial" w:eastAsia="Times New Roman" w:hAnsi="Arial" w:cs="Arial"/>
          <w:color w:val="313335"/>
          <w:spacing w:val="2"/>
          <w:sz w:val="21"/>
          <w:szCs w:val="21"/>
        </w:rPr>
        <w:t>(Ord. of 6-13-06; Ord. of 6-8-10; Ord. of 7-9-13)</w:t>
      </w:r>
    </w:p>
    <w:p w:rsidR="005857FA" w:rsidRPr="00A568A6" w:rsidRDefault="00A568A6" w:rsidP="00A568A6"/>
    <w:sectPr w:rsidR="005857FA" w:rsidRPr="00A56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A6"/>
    <w:rsid w:val="00A568A6"/>
    <w:rsid w:val="00DA3CD6"/>
    <w:rsid w:val="00F3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7CA6A-1AD7-4B30-ACAE-80395250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8A6"/>
    <w:rPr>
      <w:color w:val="0000FF"/>
      <w:u w:val="single"/>
    </w:rPr>
  </w:style>
  <w:style w:type="character" w:customStyle="1" w:styleId="sr-only">
    <w:name w:val="sr-only"/>
    <w:basedOn w:val="DefaultParagraphFont"/>
    <w:rsid w:val="00A568A6"/>
  </w:style>
  <w:style w:type="paragraph" w:customStyle="1" w:styleId="incr0">
    <w:name w:val="incr0"/>
    <w:basedOn w:val="Normal"/>
    <w:rsid w:val="00A568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A568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A56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1339">
      <w:bodyDiv w:val="1"/>
      <w:marLeft w:val="0"/>
      <w:marRight w:val="0"/>
      <w:marTop w:val="0"/>
      <w:marBottom w:val="0"/>
      <w:divBdr>
        <w:top w:val="none" w:sz="0" w:space="0" w:color="auto"/>
        <w:left w:val="none" w:sz="0" w:space="0" w:color="auto"/>
        <w:bottom w:val="none" w:sz="0" w:space="0" w:color="auto"/>
        <w:right w:val="none" w:sz="0" w:space="0" w:color="auto"/>
      </w:divBdr>
      <w:divsChild>
        <w:div w:id="1005590188">
          <w:marLeft w:val="0"/>
          <w:marRight w:val="0"/>
          <w:marTop w:val="120"/>
          <w:marBottom w:val="120"/>
          <w:divBdr>
            <w:top w:val="none" w:sz="0" w:space="0" w:color="auto"/>
            <w:left w:val="none" w:sz="0" w:space="0" w:color="auto"/>
            <w:bottom w:val="none" w:sz="0" w:space="0" w:color="auto"/>
            <w:right w:val="none" w:sz="0" w:space="0" w:color="auto"/>
          </w:divBdr>
          <w:divsChild>
            <w:div w:id="1775595094">
              <w:marLeft w:val="0"/>
              <w:marRight w:val="0"/>
              <w:marTop w:val="0"/>
              <w:marBottom w:val="0"/>
              <w:divBdr>
                <w:top w:val="none" w:sz="0" w:space="0" w:color="auto"/>
                <w:left w:val="none" w:sz="0" w:space="0" w:color="auto"/>
                <w:bottom w:val="none" w:sz="0" w:space="0" w:color="auto"/>
                <w:right w:val="none" w:sz="0" w:space="0" w:color="auto"/>
              </w:divBdr>
              <w:divsChild>
                <w:div w:id="389839953">
                  <w:marLeft w:val="0"/>
                  <w:marRight w:val="0"/>
                  <w:marTop w:val="0"/>
                  <w:marBottom w:val="0"/>
                  <w:divBdr>
                    <w:top w:val="none" w:sz="0" w:space="0" w:color="auto"/>
                    <w:left w:val="none" w:sz="0" w:space="0" w:color="auto"/>
                    <w:bottom w:val="none" w:sz="0" w:space="0" w:color="auto"/>
                    <w:right w:val="none" w:sz="0" w:space="0" w:color="auto"/>
                  </w:divBdr>
                </w:div>
              </w:divsChild>
            </w:div>
            <w:div w:id="573852695">
              <w:marLeft w:val="0"/>
              <w:marRight w:val="0"/>
              <w:marTop w:val="0"/>
              <w:marBottom w:val="0"/>
              <w:divBdr>
                <w:top w:val="none" w:sz="0" w:space="0" w:color="auto"/>
                <w:left w:val="none" w:sz="0" w:space="0" w:color="auto"/>
                <w:bottom w:val="none" w:sz="0" w:space="0" w:color="auto"/>
                <w:right w:val="none" w:sz="0" w:space="0" w:color="auto"/>
              </w:divBdr>
              <w:divsChild>
                <w:div w:id="20564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stage.municode.com/ct/bristol/codes/code_of_ordinances?nodeId=PTIICOOR_CH2.5ALSY_S2.5-7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Office Word</Application>
  <DocSecurity>0</DocSecurity>
  <Lines>11</Lines>
  <Paragraphs>3</Paragraphs>
  <ScaleCrop>false</ScaleCrop>
  <Company>Hewlett-Packard Company</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Schwartz</dc:creator>
  <cp:keywords/>
  <dc:description/>
  <cp:lastModifiedBy>David Schwartz</cp:lastModifiedBy>
  <cp:revision>1</cp:revision>
  <dcterms:created xsi:type="dcterms:W3CDTF">2020-10-05T16:47:00Z</dcterms:created>
  <dcterms:modified xsi:type="dcterms:W3CDTF">2020-10-05T16:49:00Z</dcterms:modified>
</cp:coreProperties>
</file>